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7F9" w14:textId="67BDB5D9" w:rsidR="00C91A48" w:rsidRPr="000404EF" w:rsidRDefault="00C91A48" w:rsidP="00C91A48">
      <w:pPr>
        <w:pStyle w:val="3GPPHeader"/>
        <w:spacing w:after="60"/>
        <w:rPr>
          <w:lang w:val="en-US"/>
        </w:rPr>
      </w:pPr>
      <w:r w:rsidRPr="000404EF">
        <w:rPr>
          <w:lang w:val="en-US"/>
        </w:rPr>
        <w:t xml:space="preserve">3GPP TSG-RAN WG2 </w:t>
      </w:r>
      <w:r w:rsidR="00F10448">
        <w:rPr>
          <w:lang w:val="en-US"/>
        </w:rPr>
        <w:t>#97</w:t>
      </w:r>
      <w:r w:rsidRPr="000404EF">
        <w:rPr>
          <w:lang w:val="en-US"/>
        </w:rPr>
        <w:tab/>
        <w:t>Tdoc</w:t>
      </w:r>
      <w:r w:rsidR="00674A25" w:rsidRPr="00674A25">
        <w:t xml:space="preserve"> </w:t>
      </w:r>
      <w:r w:rsidR="00674A25" w:rsidRPr="00674A25">
        <w:rPr>
          <w:lang w:val="en-US"/>
        </w:rPr>
        <w:t>R2-1700</w:t>
      </w:r>
      <w:r w:rsidR="00EA3F61">
        <w:rPr>
          <w:lang w:val="en-US"/>
        </w:rPr>
        <w:t>870</w:t>
      </w:r>
    </w:p>
    <w:p w14:paraId="1E7F61F9" w14:textId="55C9864C" w:rsidR="00C91A48" w:rsidRDefault="00F10448" w:rsidP="00C91A48">
      <w:pPr>
        <w:pStyle w:val="3GPPHeader"/>
        <w:spacing w:after="60"/>
        <w:rPr>
          <w:b w:val="0"/>
          <w:noProof/>
        </w:rPr>
      </w:pPr>
      <w:r>
        <w:rPr>
          <w:lang w:val="en-US"/>
        </w:rPr>
        <w:t>Athens</w:t>
      </w:r>
      <w:r w:rsidR="00C91A48" w:rsidRPr="00910EE8">
        <w:rPr>
          <w:lang w:val="en-US"/>
        </w:rPr>
        <w:t xml:space="preserve">, </w:t>
      </w:r>
      <w:r>
        <w:rPr>
          <w:lang w:val="en-US"/>
        </w:rPr>
        <w:t>Greece</w:t>
      </w:r>
      <w:r w:rsidR="00C91A48" w:rsidRPr="00910EE8">
        <w:rPr>
          <w:lang w:val="en-US"/>
        </w:rPr>
        <w:t>, 1</w:t>
      </w:r>
      <w:r>
        <w:rPr>
          <w:lang w:val="en-US"/>
        </w:rPr>
        <w:t>3</w:t>
      </w:r>
      <w:r w:rsidR="00C91A48" w:rsidRPr="00910EE8">
        <w:rPr>
          <w:vertAlign w:val="superscript"/>
          <w:lang w:val="en-US"/>
        </w:rPr>
        <w:t>th</w:t>
      </w:r>
      <w:r w:rsidR="00C91A48">
        <w:rPr>
          <w:lang w:val="en-US"/>
        </w:rPr>
        <w:t xml:space="preserve"> </w:t>
      </w:r>
      <w:r w:rsidR="00C91A48" w:rsidRPr="00910EE8">
        <w:rPr>
          <w:lang w:val="en-US"/>
        </w:rPr>
        <w:t>– 1</w:t>
      </w:r>
      <w:r>
        <w:rPr>
          <w:lang w:val="en-US"/>
        </w:rPr>
        <w:t>7</w:t>
      </w:r>
      <w:r w:rsidR="00C91A48" w:rsidRPr="00910EE8">
        <w:rPr>
          <w:vertAlign w:val="superscript"/>
          <w:lang w:val="en-US"/>
        </w:rPr>
        <w:t>th</w:t>
      </w:r>
      <w:r w:rsidR="00C91A48">
        <w:rPr>
          <w:lang w:val="en-US"/>
        </w:rPr>
        <w:t xml:space="preserve"> </w:t>
      </w:r>
      <w:r>
        <w:rPr>
          <w:lang w:val="en-US"/>
        </w:rPr>
        <w:t>February</w:t>
      </w:r>
      <w:r w:rsidR="00C91A48" w:rsidRPr="00910EE8">
        <w:rPr>
          <w:lang w:val="en-US"/>
        </w:rPr>
        <w:t xml:space="preserve"> 2017</w:t>
      </w:r>
    </w:p>
    <w:p w14:paraId="17DE4EDF" w14:textId="77777777" w:rsidR="00C91A48" w:rsidRPr="00CE0424" w:rsidRDefault="00C91A48" w:rsidP="00C91A48">
      <w:pPr>
        <w:pStyle w:val="3GPPHeader"/>
      </w:pPr>
    </w:p>
    <w:p w14:paraId="46848A71" w14:textId="350256E6" w:rsidR="00C91A48" w:rsidRPr="00531534" w:rsidRDefault="00C91A48" w:rsidP="00C91A48">
      <w:pPr>
        <w:pStyle w:val="3GPPHeader"/>
        <w:rPr>
          <w:sz w:val="22"/>
          <w:szCs w:val="22"/>
          <w:lang w:val="sv-SE"/>
        </w:rPr>
      </w:pPr>
      <w:r w:rsidRPr="007560C0">
        <w:rPr>
          <w:sz w:val="22"/>
          <w:szCs w:val="22"/>
          <w:lang w:val="sv-SE"/>
        </w:rPr>
        <w:t>Agenda Item:</w:t>
      </w:r>
      <w:r w:rsidRPr="007560C0">
        <w:rPr>
          <w:sz w:val="22"/>
          <w:szCs w:val="22"/>
          <w:lang w:val="sv-SE"/>
        </w:rPr>
        <w:tab/>
      </w:r>
      <w:r w:rsidR="007560C0" w:rsidRPr="007560C0">
        <w:rPr>
          <w:sz w:val="22"/>
          <w:szCs w:val="22"/>
          <w:lang w:val="sv-SE"/>
        </w:rPr>
        <w:t>10.3.1.1.5</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514C7243" w:rsidR="00C91A48" w:rsidRPr="00CE0424" w:rsidRDefault="00C91A48" w:rsidP="00C91A48">
      <w:pPr>
        <w:pStyle w:val="3GPPHeader"/>
        <w:rPr>
          <w:sz w:val="22"/>
          <w:szCs w:val="22"/>
        </w:rPr>
      </w:pPr>
      <w:r>
        <w:rPr>
          <w:sz w:val="22"/>
          <w:szCs w:val="22"/>
        </w:rPr>
        <w:t>Title:</w:t>
      </w:r>
      <w:r w:rsidRPr="00CE0424">
        <w:rPr>
          <w:sz w:val="22"/>
          <w:szCs w:val="22"/>
        </w:rPr>
        <w:tab/>
      </w:r>
      <w:r>
        <w:rPr>
          <w:sz w:val="22"/>
          <w:szCs w:val="22"/>
        </w:rPr>
        <w:t>Neighbour relation establishment in 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7498FBF0"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2E93AB28" w14:textId="582BFFDA" w:rsidR="0055635A" w:rsidRDefault="0055719E" w:rsidP="00081D62">
      <w:pPr>
        <w:pStyle w:val="BodyText"/>
      </w:pPr>
      <w:r>
        <w:t>This paper introduces the ANR problem in NR and proposes a way forward based on recent agreements associated to RRC driven mobility.</w:t>
      </w:r>
    </w:p>
    <w:p w14:paraId="2B033EF7" w14:textId="4EB61D61" w:rsidR="007560C0" w:rsidRDefault="007560C0" w:rsidP="00081D62">
      <w:pPr>
        <w:pStyle w:val="BodyText"/>
      </w:pPr>
      <w:r>
        <w:t xml:space="preserve">This paper is a resubmission from the Spokane meeting (see </w:t>
      </w:r>
      <w:hyperlink r:id="rId13" w:history="1">
        <w:r w:rsidRPr="001C3F44">
          <w:rPr>
            <w:rStyle w:val="Hyperlink"/>
          </w:rPr>
          <w:t>R2-1700548</w:t>
        </w:r>
      </w:hyperlink>
      <w:r>
        <w:t>).</w:t>
      </w:r>
    </w:p>
    <w:p w14:paraId="1281B722" w14:textId="16545B13" w:rsidR="006425C6" w:rsidRDefault="004000E8" w:rsidP="006425C6">
      <w:pPr>
        <w:pStyle w:val="Heading1"/>
      </w:pPr>
      <w:bookmarkStart w:id="0" w:name="_Ref178064866"/>
      <w:r w:rsidRPr="00CE0424">
        <w:t>Discussion</w:t>
      </w:r>
      <w:bookmarkEnd w:id="0"/>
    </w:p>
    <w:p w14:paraId="17147B78" w14:textId="2ADB434D" w:rsidR="00AA0139" w:rsidRPr="00AA0139" w:rsidRDefault="00AA0139" w:rsidP="00AC5FFA">
      <w:pPr>
        <w:pStyle w:val="Heading2"/>
      </w:pPr>
      <w:r>
        <w:t>Usage of identifiers to support RR</w:t>
      </w:r>
      <w:r w:rsidR="00AC5FFA">
        <w:t>C</w:t>
      </w:r>
      <w:r>
        <w:t xml:space="preserve"> based mobility</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18459E12" w:rsidR="0055719E" w:rsidRPr="00A87C47" w:rsidRDefault="0055719E" w:rsidP="0055719E">
      <w:pPr>
        <w:pStyle w:val="BodyText"/>
        <w:rPr>
          <w:b/>
        </w:rPr>
      </w:pPr>
      <w:r>
        <w:t xml:space="preserve">Once the UE perform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p>
    <w:p w14:paraId="292D4C8C" w14:textId="11252255"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After measuring,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1" w:name="_Ref462997797"/>
      <w:r>
        <w:t xml:space="preserve">Figure </w:t>
      </w:r>
      <w:r>
        <w:fldChar w:fldCharType="begin"/>
      </w:r>
      <w:r>
        <w:instrText xml:space="preserve"> SEQ Figure \* ARABIC </w:instrText>
      </w:r>
      <w:r>
        <w:fldChar w:fldCharType="separate"/>
      </w:r>
      <w:r>
        <w:rPr>
          <w:noProof/>
        </w:rPr>
        <w:t>1</w:t>
      </w:r>
      <w:r>
        <w:fldChar w:fldCharType="end"/>
      </w:r>
      <w:bookmarkEnd w:id="1"/>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33BFE5C9" w14:textId="53E9DDAF" w:rsidR="00A87C47" w:rsidRPr="00A87C47" w:rsidRDefault="00517DC6" w:rsidP="0055719E">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46750573" w14:textId="77777777" w:rsidR="0055719E" w:rsidRDefault="0055719E" w:rsidP="0055719E">
      <w:pPr>
        <w:pStyle w:val="BodyText"/>
      </w:pPr>
    </w:p>
    <w:p w14:paraId="11870336" w14:textId="6C8A957B" w:rsidR="007075A7" w:rsidRDefault="00A87C47" w:rsidP="00A87C47">
      <w:pPr>
        <w:pStyle w:val="BodyText"/>
      </w:pPr>
      <w:r>
        <w:t>In RAN2</w:t>
      </w:r>
      <w:r w:rsidR="007075A7">
        <w:t xml:space="preserve"> NR AH meeting in Spokane</w:t>
      </w:r>
      <w:r>
        <w:t xml:space="preserve">, </w:t>
      </w:r>
      <w:r w:rsidR="007075A7">
        <w:t>it was noted that there will be an additional RS to be used by the UE for RRM measurements in RRC_CONNECTED mode in addition to the idle mode RSs.</w:t>
      </w:r>
    </w:p>
    <w:p w14:paraId="1B956E65" w14:textId="7621C890" w:rsidR="007075A7" w:rsidRDefault="007075A7" w:rsidP="00A87C47">
      <w:pPr>
        <w:pStyle w:val="BodyText"/>
      </w:pPr>
      <w:r>
        <w:rPr>
          <w:noProof/>
          <w:lang w:val="en-US" w:eastAsia="en-US"/>
        </w:rPr>
        <mc:AlternateContent>
          <mc:Choice Requires="wps">
            <w:drawing>
              <wp:anchor distT="0" distB="0" distL="114300" distR="114300" simplePos="0" relativeHeight="251659264"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77777777" w:rsidR="007075A7" w:rsidRPr="0010713C" w:rsidRDefault="007075A7" w:rsidP="0010713C">
                            <w:pPr>
                              <w:tabs>
                                <w:tab w:val="left" w:pos="1622"/>
                              </w:tabs>
                              <w:spacing w:after="0"/>
                              <w:ind w:left="1622" w:hanging="363"/>
                              <w:rPr>
                                <w:rFonts w:eastAsia="MS Mincho"/>
                                <w:szCs w:val="24"/>
                                <w:lang w:eastAsia="ja-JP"/>
                              </w:rPr>
                            </w:pPr>
                            <w:r w:rsidRPr="007075A7">
                              <w:rPr>
                                <w:rFonts w:eastAsia="MS Mincho"/>
                                <w:szCs w:val="24"/>
                                <w:lang w:eastAsia="ja-JP"/>
                              </w:rPr>
                              <w:t>=&gt;</w:t>
                            </w:r>
                            <w:r w:rsidRPr="007075A7">
                              <w:rPr>
                                <w:rFonts w:eastAsia="MS Mincho"/>
                                <w:szCs w:val="24"/>
                                <w:lang w:eastAsia="ja-JP"/>
                              </w:rPr>
                              <w:tab/>
                              <w:t>RAN2 understanding of the LS is that RAN1 will define some form of additional RS to be used by the UE for RRM measurements in CONNECTED in addition ot the RS(s) available in idle.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182CDC"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828BB7" w14:textId="77777777" w:rsidR="007075A7" w:rsidRPr="0010713C" w:rsidRDefault="007075A7" w:rsidP="0010713C">
                      <w:pPr>
                        <w:tabs>
                          <w:tab w:val="left" w:pos="1622"/>
                        </w:tabs>
                        <w:spacing w:after="0"/>
                        <w:ind w:left="1622" w:hanging="363"/>
                        <w:rPr>
                          <w:rFonts w:eastAsia="MS Mincho"/>
                          <w:szCs w:val="24"/>
                          <w:lang w:eastAsia="ja-JP"/>
                        </w:rPr>
                      </w:pPr>
                      <w:r w:rsidRPr="007075A7">
                        <w:rPr>
                          <w:rFonts w:eastAsia="MS Mincho"/>
                          <w:szCs w:val="24"/>
                          <w:lang w:eastAsia="ja-JP"/>
                        </w:rPr>
                        <w:t>=&gt;</w:t>
                      </w:r>
                      <w:r w:rsidRPr="007075A7">
                        <w:rPr>
                          <w:rFonts w:eastAsia="MS Mincho"/>
                          <w:szCs w:val="24"/>
                          <w:lang w:eastAsia="ja-JP"/>
                        </w:rPr>
                        <w:tab/>
                        <w:t>RAN2 understanding of the LS is that RAN1 will define some form of additional RS to be used by the UE for RRM measurements in CONNECTED in addition ot the RS(s) available in idle.</w:t>
                      </w:r>
                    </w:p>
                  </w:txbxContent>
                </v:textbox>
                <w10:wrap type="square"/>
              </v:shape>
            </w:pict>
          </mc:Fallback>
        </mc:AlternateContent>
      </w:r>
    </w:p>
    <w:p w14:paraId="76C6FD80" w14:textId="307CBA64" w:rsidR="00C85664" w:rsidRDefault="00C85664" w:rsidP="00A87C47">
      <w:pPr>
        <w:pStyle w:val="BodyText"/>
      </w:pPr>
      <w:r>
        <w:t xml:space="preserve">It </w:t>
      </w:r>
      <w:r w:rsidR="00A87C47">
        <w:t xml:space="preserve">is our understanding that based on this </w:t>
      </w:r>
      <w:r w:rsidR="007075A7">
        <w:t>additional</w:t>
      </w:r>
      <w:r w:rsidR="00A87C47">
        <w:t xml:space="preserve"> RS the UE should be able to detect a neighbour link (e.g. cell, beam, TRP, etc.), trigger mobility events, report these measurements and, in the case it receives a handove</w:t>
      </w:r>
      <w:r>
        <w:t xml:space="preserve">r command, </w:t>
      </w:r>
      <w:r w:rsidR="00A87C47">
        <w:t>synchronize with this RS and perform a random access.</w:t>
      </w:r>
      <w:r>
        <w:t xml:space="preserve"> Regardless what the RS identifies, it is our understanding that as in LTE this should be a local identifier</w:t>
      </w:r>
      <w:r w:rsidR="00AA0139">
        <w:t xml:space="preserve"> </w:t>
      </w:r>
      <w:r w:rsidR="009E67CE">
        <w:t xml:space="preserve">(preferably locally unique) </w:t>
      </w:r>
      <w:r w:rsidR="00AA0139">
        <w:t>as the PCI in LTE</w:t>
      </w:r>
      <w:r>
        <w:t>:</w:t>
      </w:r>
    </w:p>
    <w:p w14:paraId="305E58BC" w14:textId="60308BC8" w:rsidR="00A30A42" w:rsidRPr="008B6D83" w:rsidRDefault="00AA0139" w:rsidP="00A30A42">
      <w:pPr>
        <w:pStyle w:val="Proposal"/>
      </w:pPr>
      <w:r>
        <w:rPr>
          <w:lang w:val="en-US"/>
        </w:rPr>
        <w:t xml:space="preserve">As in LTE for the PCI, </w:t>
      </w:r>
      <w:r w:rsidR="00C85664">
        <w:rPr>
          <w:lang w:val="en-US"/>
        </w:rPr>
        <w:t xml:space="preserve">the </w:t>
      </w:r>
      <w:r w:rsidR="007075A7">
        <w:rPr>
          <w:lang w:val="en-US"/>
        </w:rPr>
        <w:t xml:space="preserve">additional </w:t>
      </w:r>
      <w:r w:rsidR="00C85664">
        <w:rPr>
          <w:lang w:val="en-US"/>
        </w:rPr>
        <w:t xml:space="preserve">RS used for RRC driven mobility </w:t>
      </w:r>
      <w:r w:rsidR="007075A7">
        <w:rPr>
          <w:lang w:val="en-US"/>
        </w:rPr>
        <w:t xml:space="preserve">in NR </w:t>
      </w:r>
      <w:r w:rsidR="001D0271">
        <w:rPr>
          <w:lang w:val="en-US"/>
        </w:rPr>
        <w:t xml:space="preserve">will </w:t>
      </w:r>
      <w:r>
        <w:rPr>
          <w:lang w:val="en-US"/>
        </w:rPr>
        <w:t>encode a</w:t>
      </w:r>
      <w:r w:rsidR="007075A7">
        <w:rPr>
          <w:lang w:val="en-US"/>
        </w:rPr>
        <w:t xml:space="preserve"> locally unique</w:t>
      </w:r>
      <w:r w:rsidR="0023085B">
        <w:rPr>
          <w:lang w:val="en-US"/>
        </w:rPr>
        <w:t xml:space="preserve"> identifier</w:t>
      </w:r>
      <w:r w:rsidR="00F67A15">
        <w:rPr>
          <w:lang w:val="en-US"/>
        </w:rPr>
        <w:t>.</w:t>
      </w:r>
    </w:p>
    <w:p w14:paraId="0AD91FA8" w14:textId="24DBA4B3" w:rsidR="00A30A42" w:rsidRDefault="008B6D83">
      <w:pPr>
        <w:pStyle w:val="Proposal"/>
        <w:numPr>
          <w:ilvl w:val="0"/>
          <w:numId w:val="0"/>
        </w:numPr>
      </w:pPr>
      <w:r w:rsidRPr="00C20AB5">
        <w:rPr>
          <w:b w:val="0"/>
          <w:bCs w:val="0"/>
        </w:rPr>
        <w:t>O</w:t>
      </w:r>
      <w:r w:rsidR="00DE5C7E" w:rsidRPr="00DE5C7E">
        <w:rPr>
          <w:b w:val="0"/>
        </w:rPr>
        <w:t>ne seemingly straightforward but inevitable option</w:t>
      </w:r>
      <w:r w:rsidRPr="00C20AB5">
        <w:rPr>
          <w:b w:val="0"/>
          <w:bCs w:val="0"/>
        </w:rPr>
        <w:t xml:space="preserve"> would be to include a </w:t>
      </w:r>
      <w:r w:rsidR="003065F6">
        <w:rPr>
          <w:b w:val="0"/>
        </w:rPr>
        <w:t xml:space="preserve">locally unique </w:t>
      </w:r>
      <w:r w:rsidR="003065F6">
        <w:rPr>
          <w:b w:val="0"/>
          <w:i/>
        </w:rPr>
        <w:t>beam identifier (BID)</w:t>
      </w:r>
      <w:r w:rsidR="003065F6">
        <w:rPr>
          <w:b w:val="0"/>
        </w:rPr>
        <w:t xml:space="preserve"> in different transmitted beams. I</w:t>
      </w:r>
      <w:r w:rsidR="007E0E28">
        <w:rPr>
          <w:b w:val="0"/>
        </w:rPr>
        <w:t xml:space="preserve">t is also possible to include a </w:t>
      </w:r>
      <w:r w:rsidR="007E0E28">
        <w:rPr>
          <w:b w:val="0"/>
          <w:i/>
        </w:rPr>
        <w:t xml:space="preserve">cell identity (CID) </w:t>
      </w:r>
      <w:r w:rsidR="007E0E28">
        <w:rPr>
          <w:b w:val="0"/>
        </w:rPr>
        <w:t>associated with</w:t>
      </w:r>
      <w:r w:rsidR="00F33EC5">
        <w:rPr>
          <w:b w:val="0"/>
          <w:bCs w:val="0"/>
        </w:rPr>
        <w:t xml:space="preserve"> all beams transmitted by an</w:t>
      </w:r>
      <w:r w:rsidRPr="00C20AB5">
        <w:rPr>
          <w:b w:val="0"/>
          <w:bCs w:val="0"/>
        </w:rPr>
        <w:t xml:space="preserve"> </w:t>
      </w:r>
      <w:r w:rsidR="00F33EC5" w:rsidRPr="00B7155D">
        <w:rPr>
          <w:i/>
        </w:rPr>
        <w:t>active mode</w:t>
      </w:r>
      <w:r w:rsidR="00F33EC5">
        <w:rPr>
          <w:b w:val="0"/>
          <w:bCs w:val="0"/>
        </w:rPr>
        <w:t xml:space="preserve"> </w:t>
      </w:r>
      <w:r w:rsidRPr="00C20AB5">
        <w:rPr>
          <w:b w:val="0"/>
          <w:bCs w:val="0"/>
        </w:rPr>
        <w:t>cell</w:t>
      </w:r>
      <w:r w:rsidR="00DE5C7E">
        <w:rPr>
          <w:b w:val="0"/>
        </w:rPr>
        <w:t xml:space="preserve"> along with the BID</w:t>
      </w:r>
      <w:r w:rsidRPr="00C20AB5">
        <w:rPr>
          <w:b w:val="0"/>
          <w:bCs w:val="0"/>
        </w:rPr>
        <w:t>.</w:t>
      </w:r>
      <w:r>
        <w:rPr>
          <w:b w:val="0"/>
        </w:rPr>
        <w:t xml:space="preserve"> Different options for doing so </w:t>
      </w:r>
      <w:r w:rsidR="00010E3F">
        <w:rPr>
          <w:b w:val="0"/>
        </w:rPr>
        <w:t>are being discussed in RAN1.</w:t>
      </w:r>
    </w:p>
    <w:p w14:paraId="5185A407" w14:textId="4532E7C3" w:rsidR="00AA0139" w:rsidRPr="00AA0139" w:rsidRDefault="00AA0139" w:rsidP="00AA0139">
      <w:pPr>
        <w:pStyle w:val="Heading2"/>
      </w:pPr>
      <w:r>
        <w:t>Automatic Neighbour Relations</w:t>
      </w:r>
    </w:p>
    <w:p w14:paraId="20F9A153" w14:textId="3F104BBB" w:rsidR="00AA0139" w:rsidRDefault="00AA0139" w:rsidP="004158C2">
      <w:pPr>
        <w:spacing w:line="276" w:lineRule="auto"/>
      </w:pPr>
      <w:r>
        <w:t>As discussed before, in order to be able to trigger handover preparation and execution, a serving eNB needs to maintain a mapping between the locally unique identifier reported by the UE in the measurement reports and a globally unique identifier. In LTE Rel-8, an Automatic Neighbour Relation (ANR) function has been introduced in order to automate the construction of these relations.</w:t>
      </w:r>
      <w:r w:rsidR="008952BD">
        <w:t xml:space="preserve"> </w:t>
      </w:r>
      <w:r w:rsidR="008952BD" w:rsidRPr="00313D3B">
        <w:rPr>
          <w:rFonts w:cs="Arial"/>
        </w:rPr>
        <w:t xml:space="preserve">The objective of </w:t>
      </w:r>
      <w:r w:rsidR="008952BD">
        <w:rPr>
          <w:rFonts w:cs="Arial"/>
        </w:rPr>
        <w:t>ANR</w:t>
      </w:r>
      <w:r w:rsidR="008952BD" w:rsidRPr="00313D3B">
        <w:rPr>
          <w:rFonts w:cs="Arial"/>
        </w:rPr>
        <w:t xml:space="preserve"> is to obtain a</w:t>
      </w:r>
      <w:r w:rsidR="006C7391">
        <w:rPr>
          <w:rFonts w:cs="Arial"/>
        </w:rPr>
        <w:t xml:space="preserve"> globally unique</w:t>
      </w:r>
      <w:r w:rsidR="008952BD" w:rsidRPr="00313D3B">
        <w:rPr>
          <w:rFonts w:cs="Arial"/>
        </w:rPr>
        <w:t xml:space="preserve"> identity associated to a neighbour base station. Based on the identity, the base station can obtain the transport network layer address, establish a signalling path to the neighbouring base station, setup X2</w:t>
      </w:r>
      <w:r w:rsidR="008952BD">
        <w:rPr>
          <w:rFonts w:cs="Arial"/>
        </w:rPr>
        <w:t xml:space="preserve"> (or eX2)</w:t>
      </w:r>
      <w:r w:rsidR="008952BD" w:rsidRPr="00313D3B">
        <w:rPr>
          <w:rFonts w:cs="Arial"/>
        </w:rPr>
        <w:t xml:space="preserve"> connection, etc. </w:t>
      </w:r>
    </w:p>
    <w:p w14:paraId="1A940962" w14:textId="2851D7CB" w:rsidR="008952BD" w:rsidRDefault="00AA0139" w:rsidP="00AA0139">
      <w:pPr>
        <w:pStyle w:val="BodyText"/>
      </w:pPr>
      <w:r>
        <w:lastRenderedPageBreak/>
        <w:t>When the serving eNB receives a measurement report containing an unknown PCI, the eNB may instruct the UE to also read the Enhanced Global Cell Identity (ECGI) from the broadcast channel of the detected neighbour cell. When the UE reports the ECGI to the serving cell, the serving cell may setup a neighbour relation with the detected cell. The solution is based on the broadcast of both PCI and a global identifier, the ECGI.</w:t>
      </w:r>
      <w:r w:rsidR="00D3176C">
        <w:t xml:space="preserve"> </w:t>
      </w:r>
    </w:p>
    <w:p w14:paraId="5AB323F8" w14:textId="4887DAD0" w:rsidR="00AA0139" w:rsidRDefault="00AA0139" w:rsidP="00AA0139">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 xml:space="preserve">to acquire a global identifier (e.g. ECGI) associated to </w:t>
      </w:r>
      <w:r w:rsidR="006C7391">
        <w:rPr>
          <w:b/>
        </w:rPr>
        <w:t>a</w:t>
      </w:r>
      <w:r>
        <w:rPr>
          <w:b/>
        </w:rPr>
        <w:t xml:space="preserve"> previously reported local identifier (PCI).</w:t>
      </w:r>
    </w:p>
    <w:p w14:paraId="21C4AFCA" w14:textId="69736A06" w:rsidR="00A30A42" w:rsidRPr="003065F6" w:rsidRDefault="00AA0139" w:rsidP="003065F6">
      <w:pPr>
        <w:pStyle w:val="BodyText"/>
        <w:numPr>
          <w:ilvl w:val="0"/>
          <w:numId w:val="25"/>
        </w:numPr>
        <w:ind w:left="1560" w:hanging="1560"/>
        <w:rPr>
          <w:b/>
        </w:rPr>
      </w:pPr>
      <w:r>
        <w:rPr>
          <w:b/>
        </w:rPr>
        <w:t>In LTE, a globally unique identifier (ECGI) is broadcasted and can be associated to a locally unique identifier (PCI).</w:t>
      </w:r>
    </w:p>
    <w:p w14:paraId="14C14FB3" w14:textId="14C8DA70" w:rsidR="00BF6459" w:rsidRDefault="00AA0139" w:rsidP="0055719E">
      <w:pPr>
        <w:pStyle w:val="BodyText"/>
      </w:pPr>
      <w:r>
        <w:t>It is our understanding that NR should follow similar principles.</w:t>
      </w:r>
      <w:r w:rsidR="006B39F6">
        <w:t xml:space="preserve"> As discussed before, the non-UE specific RS should encode </w:t>
      </w:r>
      <w:r w:rsidR="003065F6">
        <w:t>a</w:t>
      </w:r>
      <w:r w:rsidR="006B39F6">
        <w:t xml:space="preserve"> local identifier</w:t>
      </w:r>
      <w:r w:rsidR="007E0E28">
        <w:t xml:space="preserve"> which locally identifies </w:t>
      </w:r>
      <w:r w:rsidR="003065F6">
        <w:t>the</w:t>
      </w:r>
      <w:r w:rsidR="006B39F6">
        <w:t xml:space="preserve"> beam</w:t>
      </w:r>
      <w:r w:rsidR="007E0E28">
        <w:t xml:space="preserve"> and possibly the transmitting cell, using for example any of the procedures described in </w:t>
      </w:r>
      <w:r w:rsidR="007E0E28">
        <w:fldChar w:fldCharType="begin"/>
      </w:r>
      <w:r w:rsidR="007E0E28">
        <w:instrText xml:space="preserve"> REF _Ref465843238 \r \h </w:instrText>
      </w:r>
      <w:r w:rsidR="007E0E28">
        <w:fldChar w:fldCharType="separate"/>
      </w:r>
      <w:r w:rsidR="007E0E28">
        <w:t>[3]</w:t>
      </w:r>
      <w:r w:rsidR="007E0E28">
        <w:fldChar w:fldCharType="end"/>
      </w:r>
      <w:r w:rsidR="006B39F6">
        <w:t>.</w:t>
      </w:r>
      <w:r w:rsidR="00D3176C">
        <w:t xml:space="preserve"> </w:t>
      </w:r>
      <w:r w:rsidR="00C20AB5">
        <w:t xml:space="preserve">However, it is very essential that </w:t>
      </w:r>
      <w:r w:rsidR="00ED5EDB">
        <w:t>w</w:t>
      </w:r>
      <w:r w:rsidR="00D3176C">
        <w:t xml:space="preserve">hen the identifier is unknown by the serving gNB, it should be possible to request the UE to read a globally unique identifier associated to it (e.g. a </w:t>
      </w:r>
      <w:r w:rsidR="00D3176C" w:rsidRPr="00D3176C">
        <w:rPr>
          <w:b/>
        </w:rPr>
        <w:t>G</w:t>
      </w:r>
      <w:r w:rsidR="00D3176C">
        <w:rPr>
          <w:b/>
        </w:rPr>
        <w:t xml:space="preserve">lobal </w:t>
      </w:r>
      <w:r w:rsidR="00D3176C" w:rsidRPr="00D3176C">
        <w:rPr>
          <w:b/>
        </w:rPr>
        <w:t>ID</w:t>
      </w:r>
      <w:r w:rsidR="00D3176C" w:rsidRPr="00D3176C">
        <w:t>).</w:t>
      </w:r>
      <w:r w:rsidR="00D3176C">
        <w:t xml:space="preserve"> </w:t>
      </w:r>
    </w:p>
    <w:p w14:paraId="7819AA36" w14:textId="6169BCCB" w:rsidR="00D3176C" w:rsidRPr="00D3176C" w:rsidRDefault="00F67A15" w:rsidP="00F67A15">
      <w:pPr>
        <w:pStyle w:val="Proposal"/>
      </w:pPr>
      <w:r>
        <w:t>A UE will upon request from the serving gNB</w:t>
      </w:r>
      <w:r w:rsidR="002C1899">
        <w:t>,</w:t>
      </w:r>
      <w:r>
        <w:t xml:space="preserve"> decode</w:t>
      </w:r>
      <w:r w:rsidR="002C1899">
        <w:t>s</w:t>
      </w:r>
      <w:r>
        <w:t xml:space="preserve"> and report</w:t>
      </w:r>
      <w:r w:rsidR="002C1899">
        <w:t>s</w:t>
      </w:r>
      <w:r>
        <w:t xml:space="preserve"> </w:t>
      </w:r>
      <w:r w:rsidR="002C1899">
        <w:t>the</w:t>
      </w:r>
      <w:r>
        <w:t xml:space="preserve"> Global ID associated to a previously reported </w:t>
      </w:r>
      <w:r w:rsidR="009E67CE">
        <w:t>local</w:t>
      </w:r>
      <w:r>
        <w:t xml:space="preserve"> identifier associated to the </w:t>
      </w:r>
      <w:r w:rsidR="002C1899">
        <w:t xml:space="preserve">additional </w:t>
      </w:r>
      <w:r>
        <w:t>RS</w:t>
      </w:r>
      <w:r>
        <w:rPr>
          <w:rStyle w:val="CommentReference"/>
          <w:b w:val="0"/>
          <w:bCs w:val="0"/>
        </w:rPr>
        <w:t>.</w:t>
      </w:r>
    </w:p>
    <w:p w14:paraId="3C6F4105" w14:textId="4FB5DFE7" w:rsidR="00D3176C" w:rsidRPr="000842BE" w:rsidRDefault="00D3176C" w:rsidP="00F67A15">
      <w:pPr>
        <w:pStyle w:val="Proposal"/>
      </w:pPr>
      <w:r>
        <w:rPr>
          <w:lang w:val="en-US"/>
        </w:rPr>
        <w:t>A gNB broadcast</w:t>
      </w:r>
      <w:r w:rsidR="00F67A15">
        <w:rPr>
          <w:lang w:val="en-US"/>
        </w:rPr>
        <w:t>s</w:t>
      </w:r>
      <w:r>
        <w:rPr>
          <w:lang w:val="en-US"/>
        </w:rPr>
        <w:t xml:space="preserve"> a Global ID associated to local IDs associated to </w:t>
      </w:r>
      <w:r w:rsidR="002C1899">
        <w:rPr>
          <w:lang w:val="en-US"/>
        </w:rPr>
        <w:t xml:space="preserve">additional </w:t>
      </w:r>
      <w:r>
        <w:rPr>
          <w:lang w:val="en-US"/>
        </w:rPr>
        <w:t>RSs.</w:t>
      </w:r>
    </w:p>
    <w:p w14:paraId="072E1A0B" w14:textId="77777777" w:rsidR="00D3176C" w:rsidRDefault="00D3176C" w:rsidP="00F67A15">
      <w:pPr>
        <w:pStyle w:val="Proposal"/>
        <w:numPr>
          <w:ilvl w:val="0"/>
          <w:numId w:val="0"/>
        </w:numPr>
        <w:ind w:left="1701"/>
      </w:pPr>
    </w:p>
    <w:p w14:paraId="027DD4DD" w14:textId="1198A0B1" w:rsidR="00BF6459" w:rsidRDefault="00D3176C" w:rsidP="00F67A15">
      <w:pPr>
        <w:pStyle w:val="BodyText"/>
      </w:pPr>
      <w:r>
        <w:t>In LTE, this Global ID, the ECGI, is not necessary as often as the PCI. Therefore, it is transmitted in SIB</w:t>
      </w:r>
      <w:r w:rsidR="00D47081">
        <w:t>1</w:t>
      </w:r>
      <w:r>
        <w:t xml:space="preserve"> every </w:t>
      </w:r>
      <w:r w:rsidR="0069133C">
        <w:t>80</w:t>
      </w:r>
      <w:r>
        <w:t xml:space="preserve"> ms while the PCI is transmitted every 5ms.</w:t>
      </w:r>
    </w:p>
    <w:p w14:paraId="08686A45" w14:textId="5C4B6A01" w:rsidR="00D3176C" w:rsidRPr="00D3176C" w:rsidRDefault="00D3176C" w:rsidP="00D3176C">
      <w:pPr>
        <w:pStyle w:val="BodyText"/>
        <w:numPr>
          <w:ilvl w:val="0"/>
          <w:numId w:val="25"/>
        </w:numPr>
        <w:ind w:left="1560" w:hanging="1560"/>
        <w:rPr>
          <w:b/>
        </w:rPr>
      </w:pPr>
      <w:r>
        <w:rPr>
          <w:b/>
        </w:rPr>
        <w:t>In LTE, a globally unique identifier (ECGI) is broadcasted with a larger periodicity than the locally unique identifier (PCI).</w:t>
      </w:r>
    </w:p>
    <w:p w14:paraId="14E581DB" w14:textId="275964A5" w:rsidR="00BF6459" w:rsidRDefault="00D3176C" w:rsidP="0055719E">
      <w:pPr>
        <w:pStyle w:val="BodyText"/>
      </w:pPr>
      <w:r>
        <w:t xml:space="preserve">In NR, our understanding is that a similar principle should apply where the Global ID is transmitted less often than the local ID. </w:t>
      </w:r>
    </w:p>
    <w:p w14:paraId="422FE464" w14:textId="542E99A7" w:rsidR="00D3176C" w:rsidRPr="000842BE" w:rsidRDefault="00D3176C" w:rsidP="00D3176C">
      <w:pPr>
        <w:pStyle w:val="Proposal"/>
      </w:pPr>
      <w:r>
        <w:rPr>
          <w:lang w:val="en-US"/>
        </w:rPr>
        <w:t xml:space="preserve">A gNB </w:t>
      </w:r>
      <w:r w:rsidR="009E67CE">
        <w:rPr>
          <w:lang w:val="en-US"/>
        </w:rPr>
        <w:t xml:space="preserve">can be configured to </w:t>
      </w:r>
      <w:r>
        <w:rPr>
          <w:lang w:val="en-US"/>
        </w:rPr>
        <w:t xml:space="preserve">broadcast </w:t>
      </w:r>
      <w:r w:rsidRPr="00A17094">
        <w:rPr>
          <w:lang w:val="en-US"/>
        </w:rPr>
        <w:t xml:space="preserve">a global identifier </w:t>
      </w:r>
      <w:r>
        <w:rPr>
          <w:lang w:val="en-US"/>
        </w:rPr>
        <w:t>in conjunction with</w:t>
      </w:r>
      <w:r w:rsidRPr="00A17094">
        <w:rPr>
          <w:lang w:val="en-US"/>
        </w:rPr>
        <w:t xml:space="preserve"> </w:t>
      </w:r>
      <w:r>
        <w:rPr>
          <w:lang w:val="en-US"/>
        </w:rPr>
        <w:t>every N</w:t>
      </w:r>
      <w:r w:rsidRPr="00A17094">
        <w:rPr>
          <w:vertAlign w:val="superscript"/>
          <w:lang w:val="en-US"/>
        </w:rPr>
        <w:t>th</w:t>
      </w:r>
      <w:r>
        <w:rPr>
          <w:lang w:val="en-US"/>
        </w:rPr>
        <w:t xml:space="preserve"> local identifier.</w:t>
      </w:r>
      <w:r w:rsidRPr="00A17094">
        <w:rPr>
          <w:lang w:val="en-US"/>
        </w:rPr>
        <w:t xml:space="preserve"> </w:t>
      </w:r>
    </w:p>
    <w:p w14:paraId="6DAAF8C8" w14:textId="77777777" w:rsidR="00C01F33" w:rsidRDefault="00C01F33" w:rsidP="00CE0424">
      <w:pPr>
        <w:pStyle w:val="Heading1"/>
      </w:pPr>
      <w:r w:rsidRPr="00CE0424">
        <w:t>Conclusion</w:t>
      </w:r>
    </w:p>
    <w:p w14:paraId="53170FF5" w14:textId="2711BB2B" w:rsidR="00905EB9" w:rsidRDefault="004158C2" w:rsidP="00905EB9">
      <w:pPr>
        <w:pStyle w:val="BodyText"/>
      </w:pPr>
      <w:r>
        <w:t>In the previous section, the following has been observed:</w:t>
      </w:r>
    </w:p>
    <w:p w14:paraId="1F87E539" w14:textId="6296F5AD" w:rsidR="004158C2" w:rsidRPr="004158C2" w:rsidRDefault="004158C2" w:rsidP="004158C2">
      <w:pPr>
        <w:pStyle w:val="BodyText"/>
        <w:numPr>
          <w:ilvl w:val="0"/>
          <w:numId w:val="36"/>
        </w:numPr>
        <w:rPr>
          <w:b/>
        </w:rPr>
      </w:pPr>
      <w:r w:rsidRPr="00A87C47">
        <w:rPr>
          <w:b/>
        </w:rPr>
        <w:t>In LTE, the UE reports to the serving eNB measurement reports associated to local</w:t>
      </w:r>
      <w:r>
        <w:rPr>
          <w:b/>
        </w:rPr>
        <w:t>ly</w:t>
      </w:r>
      <w:r w:rsidRPr="00A87C47">
        <w:rPr>
          <w:b/>
        </w:rPr>
        <w:t xml:space="preserve"> unique identifiers (e.g. PCIs).</w:t>
      </w:r>
    </w:p>
    <w:p w14:paraId="2384EDD5" w14:textId="77777777" w:rsidR="004158C2" w:rsidRDefault="004158C2" w:rsidP="004158C2">
      <w:pPr>
        <w:pStyle w:val="BodyText"/>
        <w:numPr>
          <w:ilvl w:val="0"/>
          <w:numId w:val="36"/>
        </w:numPr>
        <w:ind w:left="1560" w:hanging="1560"/>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460D8DBD" w14:textId="77777777" w:rsidR="004158C2" w:rsidRDefault="004158C2" w:rsidP="004158C2">
      <w:pPr>
        <w:pStyle w:val="BodyText"/>
        <w:numPr>
          <w:ilvl w:val="0"/>
          <w:numId w:val="36"/>
        </w:numPr>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1036A13" w14:textId="77777777" w:rsidR="004158C2" w:rsidRPr="004158C2" w:rsidRDefault="004158C2" w:rsidP="004158C2">
      <w:pPr>
        <w:pStyle w:val="BodyText"/>
        <w:numPr>
          <w:ilvl w:val="0"/>
          <w:numId w:val="36"/>
        </w:numPr>
        <w:rPr>
          <w:b/>
        </w:rPr>
      </w:pPr>
      <w:r>
        <w:rPr>
          <w:b/>
        </w:rPr>
        <w:t>In LTE, a globally unique identifier (ECGI) is broadcasted and can be associated to a locally unique identifier (PCI).</w:t>
      </w:r>
    </w:p>
    <w:p w14:paraId="280A0126" w14:textId="2C741A8B" w:rsidR="004158C2" w:rsidRPr="004158C2" w:rsidRDefault="004158C2" w:rsidP="00905EB9">
      <w:pPr>
        <w:pStyle w:val="BodyText"/>
        <w:numPr>
          <w:ilvl w:val="0"/>
          <w:numId w:val="36"/>
        </w:numPr>
        <w:rPr>
          <w:b/>
        </w:rPr>
      </w:pPr>
      <w:r>
        <w:rPr>
          <w:b/>
        </w:rPr>
        <w:t>In LTE, a globally unique identifier (ECGI) is broadcasted with a larger periodicity than the locally unique identifier (PCI).</w:t>
      </w:r>
    </w:p>
    <w:p w14:paraId="7D2B22A8" w14:textId="77777777" w:rsidR="004158C2" w:rsidRDefault="004158C2" w:rsidP="004158C2">
      <w:pPr>
        <w:pStyle w:val="BodyText"/>
      </w:pPr>
    </w:p>
    <w:p w14:paraId="16745B98" w14:textId="36BA0363" w:rsidR="004158C2" w:rsidRDefault="004158C2" w:rsidP="004158C2">
      <w:pPr>
        <w:pStyle w:val="BodyText"/>
      </w:pPr>
      <w:r>
        <w:t>Based on these observations, we have proposed the following:</w:t>
      </w:r>
    </w:p>
    <w:p w14:paraId="18C286A8" w14:textId="1A973622" w:rsidR="004158C2" w:rsidRDefault="001B5D49" w:rsidP="001B5D49">
      <w:pPr>
        <w:pStyle w:val="Proposal"/>
        <w:numPr>
          <w:ilvl w:val="0"/>
          <w:numId w:val="37"/>
        </w:numPr>
      </w:pPr>
      <w:r w:rsidRPr="001B5D49">
        <w:rPr>
          <w:lang w:val="en-US"/>
        </w:rPr>
        <w:t>As in LTE for the PCI, the additional RS used for RRC driven mobility in NR will encode a locally unique identifier.</w:t>
      </w:r>
    </w:p>
    <w:p w14:paraId="725F74F9" w14:textId="13B255FB" w:rsidR="004158C2" w:rsidRPr="00D3176C" w:rsidRDefault="004158C2" w:rsidP="004158C2">
      <w:pPr>
        <w:pStyle w:val="Proposal"/>
        <w:numPr>
          <w:ilvl w:val="0"/>
          <w:numId w:val="37"/>
        </w:numPr>
      </w:pPr>
      <w:r>
        <w:t xml:space="preserve">A UE will upon request from the serving gNB decode and report a Global ID associated to a previously reported local identifier associated to the </w:t>
      </w:r>
      <w:r w:rsidR="001B5D49">
        <w:t xml:space="preserve">additional </w:t>
      </w:r>
      <w:r>
        <w:t>RS</w:t>
      </w:r>
      <w:r w:rsidRPr="004158C2">
        <w:rPr>
          <w:rStyle w:val="CommentReference"/>
          <w:b w:val="0"/>
          <w:bCs w:val="0"/>
        </w:rPr>
        <w:t>.</w:t>
      </w:r>
    </w:p>
    <w:p w14:paraId="1153DBD4" w14:textId="7D4908DB" w:rsidR="004158C2" w:rsidRDefault="004158C2" w:rsidP="004158C2">
      <w:pPr>
        <w:pStyle w:val="Proposal"/>
        <w:numPr>
          <w:ilvl w:val="0"/>
          <w:numId w:val="37"/>
        </w:numPr>
      </w:pPr>
      <w:r w:rsidRPr="004158C2">
        <w:rPr>
          <w:lang w:val="en-US"/>
        </w:rPr>
        <w:t xml:space="preserve">A gNB broadcasts a Global ID associated to local IDs associated to </w:t>
      </w:r>
      <w:r w:rsidR="001B5D49">
        <w:rPr>
          <w:lang w:val="en-US"/>
        </w:rPr>
        <w:t xml:space="preserve">additional </w:t>
      </w:r>
      <w:r w:rsidRPr="004158C2">
        <w:rPr>
          <w:lang w:val="en-US"/>
        </w:rPr>
        <w:t>RSs.</w:t>
      </w:r>
    </w:p>
    <w:p w14:paraId="36CC1B39" w14:textId="0EB802C6" w:rsidR="0090659A" w:rsidRDefault="004158C2" w:rsidP="0090659A">
      <w:pPr>
        <w:pStyle w:val="Proposal"/>
        <w:numPr>
          <w:ilvl w:val="0"/>
          <w:numId w:val="37"/>
        </w:numPr>
      </w:pPr>
      <w:r w:rsidRPr="004158C2">
        <w:rPr>
          <w:lang w:val="en-US"/>
        </w:rPr>
        <w:lastRenderedPageBreak/>
        <w:t>A gNB can be configured to broadcast a global identifier in conjunction with every N</w:t>
      </w:r>
      <w:r w:rsidRPr="004158C2">
        <w:rPr>
          <w:vertAlign w:val="superscript"/>
          <w:lang w:val="en-US"/>
        </w:rPr>
        <w:t>th</w:t>
      </w:r>
      <w:r w:rsidRPr="004158C2">
        <w:rPr>
          <w:lang w:val="en-US"/>
        </w:rPr>
        <w:t xml:space="preserve"> local identifier. </w:t>
      </w:r>
      <w:bookmarkStart w:id="2" w:name="_GoBack"/>
      <w:bookmarkEnd w:id="2"/>
    </w:p>
    <w:p w14:paraId="4F3D1ECA" w14:textId="77777777" w:rsidR="00F507D1" w:rsidRPr="00CE0424" w:rsidRDefault="00F507D1" w:rsidP="00CE0424">
      <w:pPr>
        <w:pStyle w:val="Heading1"/>
      </w:pPr>
      <w:bookmarkStart w:id="3" w:name="_In-sequence_SDU_delivery"/>
      <w:bookmarkEnd w:id="3"/>
      <w:r w:rsidRPr="00CE0424">
        <w:t>References</w:t>
      </w:r>
    </w:p>
    <w:p w14:paraId="77132D2E" w14:textId="77777777" w:rsidR="00081D62" w:rsidRPr="00313D3B" w:rsidRDefault="00081D62" w:rsidP="00081D62">
      <w:pPr>
        <w:pStyle w:val="Reference"/>
        <w:rPr>
          <w:rFonts w:cs="Arial"/>
        </w:rPr>
      </w:pPr>
      <w:bookmarkStart w:id="4" w:name="_Ref456254943"/>
      <w:bookmarkStart w:id="5" w:name="_Ref456256904"/>
      <w:bookmarkStart w:id="6" w:name="_Ref455126129"/>
      <w:bookmarkStart w:id="7" w:name="_Ref174151459"/>
      <w:bookmarkStart w:id="8" w:name="_Ref189809556"/>
      <w:bookmarkStart w:id="9" w:name="_Ref458687908"/>
      <w:r w:rsidRPr="00313D3B">
        <w:t>3GPP TS 36.300</w:t>
      </w:r>
      <w:r>
        <w:t xml:space="preserve"> V13.4.0 (2016-06), “Evolved Universal Terrestrial Radio Access (E-UTRA) and Evolved Universal Terrestrial Radio Access Network (E-UTRAN); Overall description”</w:t>
      </w:r>
      <w:bookmarkEnd w:id="4"/>
      <w:bookmarkEnd w:id="5"/>
    </w:p>
    <w:p w14:paraId="0B8BECB2" w14:textId="57C557C5" w:rsidR="008B6D83" w:rsidRPr="00010E3F" w:rsidRDefault="00081D62" w:rsidP="00010E3F">
      <w:pPr>
        <w:pStyle w:val="Reference"/>
        <w:spacing w:line="276" w:lineRule="auto"/>
        <w:rPr>
          <w:rFonts w:cs="Arial"/>
        </w:rPr>
      </w:pPr>
      <w:bookmarkStart w:id="10" w:name="_Ref456255044"/>
      <w:r w:rsidRPr="00313D3B">
        <w:rPr>
          <w:rFonts w:cs="Arial"/>
        </w:rPr>
        <w:t>A. Dahlén, A. Johansson, F. Gunnarsson, J. Moe, T. Rimhagen, H. Kallin, ”Evaluations of LTE Automatic Neighbor Relations”, in Proc. IWSON at VTC Spring, Budapest, Hungary, 2011.</w:t>
      </w:r>
      <w:bookmarkEnd w:id="6"/>
      <w:bookmarkEnd w:id="7"/>
      <w:bookmarkEnd w:id="8"/>
      <w:bookmarkEnd w:id="9"/>
      <w:bookmarkEnd w:id="10"/>
    </w:p>
    <w:sectPr w:rsidR="008B6D83" w:rsidRPr="00010E3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9A9AF" w14:textId="77777777" w:rsidR="006938BB" w:rsidRDefault="006938BB">
      <w:r>
        <w:separator/>
      </w:r>
    </w:p>
  </w:endnote>
  <w:endnote w:type="continuationSeparator" w:id="0">
    <w:p w14:paraId="222D8A51" w14:textId="77777777" w:rsidR="006938BB" w:rsidRDefault="0069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7D739D06"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068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068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BD6A0" w14:textId="77777777" w:rsidR="006938BB" w:rsidRDefault="006938BB">
      <w:r>
        <w:separator/>
      </w:r>
    </w:p>
  </w:footnote>
  <w:footnote w:type="continuationSeparator" w:id="0">
    <w:p w14:paraId="1FAA57D1" w14:textId="77777777" w:rsidR="006938BB" w:rsidRDefault="0069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6"/>
  </w:num>
  <w:num w:numId="4">
    <w:abstractNumId w:val="19"/>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2"/>
  </w:num>
  <w:num w:numId="17">
    <w:abstractNumId w:val="26"/>
  </w:num>
  <w:num w:numId="18">
    <w:abstractNumId w:val="11"/>
  </w:num>
  <w:num w:numId="19">
    <w:abstractNumId w:val="16"/>
  </w:num>
  <w:num w:numId="20">
    <w:abstractNumId w:val="29"/>
  </w:num>
  <w:num w:numId="21">
    <w:abstractNumId w:val="5"/>
  </w:num>
  <w:num w:numId="22">
    <w:abstractNumId w:val="33"/>
  </w:num>
  <w:num w:numId="23">
    <w:abstractNumId w:val="31"/>
  </w:num>
  <w:num w:numId="24">
    <w:abstractNumId w:val="9"/>
  </w:num>
  <w:num w:numId="25">
    <w:abstractNumId w:val="30"/>
  </w:num>
  <w:num w:numId="26">
    <w:abstractNumId w:val="16"/>
    <w:lvlOverride w:ilvl="0">
      <w:startOverride w:val="1"/>
    </w:lvlOverride>
  </w:num>
  <w:num w:numId="27">
    <w:abstractNumId w:val="28"/>
  </w:num>
  <w:num w:numId="28">
    <w:abstractNumId w:val="18"/>
  </w:num>
  <w:num w:numId="29">
    <w:abstractNumId w:val="20"/>
  </w:num>
  <w:num w:numId="30">
    <w:abstractNumId w:val="10"/>
  </w:num>
  <w:num w:numId="31">
    <w:abstractNumId w:val="22"/>
  </w:num>
  <w:num w:numId="32">
    <w:abstractNumId w:val="4"/>
  </w:num>
  <w:num w:numId="33">
    <w:abstractNumId w:val="23"/>
  </w:num>
  <w:num w:numId="34">
    <w:abstractNumId w:val="8"/>
  </w:num>
  <w:num w:numId="35">
    <w:abstractNumId w:val="7"/>
  </w:num>
  <w:num w:numId="36">
    <w:abstractNumId w:val="17"/>
  </w:num>
  <w:num w:numId="37">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4A2"/>
    <w:rsid w:val="00200490"/>
    <w:rsid w:val="00201F3A"/>
    <w:rsid w:val="00203F96"/>
    <w:rsid w:val="00204372"/>
    <w:rsid w:val="002069B2"/>
    <w:rsid w:val="00207FA3"/>
    <w:rsid w:val="002113AD"/>
    <w:rsid w:val="00214DA8"/>
    <w:rsid w:val="00215423"/>
    <w:rsid w:val="002158FA"/>
    <w:rsid w:val="00216201"/>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56B"/>
    <w:rsid w:val="00303BD7"/>
    <w:rsid w:val="0030501F"/>
    <w:rsid w:val="003065F6"/>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42AC"/>
    <w:rsid w:val="00377CE1"/>
    <w:rsid w:val="003806FB"/>
    <w:rsid w:val="00385BF0"/>
    <w:rsid w:val="0039068D"/>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72505"/>
    <w:rsid w:val="00581993"/>
    <w:rsid w:val="00582809"/>
    <w:rsid w:val="0058318F"/>
    <w:rsid w:val="0058342B"/>
    <w:rsid w:val="0058798C"/>
    <w:rsid w:val="005900FA"/>
    <w:rsid w:val="005935A4"/>
    <w:rsid w:val="005948C2"/>
    <w:rsid w:val="00595DCA"/>
    <w:rsid w:val="0059779B"/>
    <w:rsid w:val="005A209A"/>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46FB"/>
    <w:rsid w:val="006A5E28"/>
    <w:rsid w:val="006A697B"/>
    <w:rsid w:val="006A7AFF"/>
    <w:rsid w:val="006B1816"/>
    <w:rsid w:val="006B2099"/>
    <w:rsid w:val="006B39F6"/>
    <w:rsid w:val="006B50CF"/>
    <w:rsid w:val="006C03B8"/>
    <w:rsid w:val="006C5EC9"/>
    <w:rsid w:val="006C6059"/>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BD9"/>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7094"/>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39D0"/>
    <w:rsid w:val="00A761D4"/>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D0AA3"/>
    <w:rsid w:val="00AD2920"/>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6045F"/>
    <w:rsid w:val="00B62AAA"/>
    <w:rsid w:val="00B664C7"/>
    <w:rsid w:val="00B66689"/>
    <w:rsid w:val="00B70298"/>
    <w:rsid w:val="00B7155D"/>
    <w:rsid w:val="00B739F6"/>
    <w:rsid w:val="00B81A6C"/>
    <w:rsid w:val="00B8301C"/>
    <w:rsid w:val="00B85DE5"/>
    <w:rsid w:val="00B90F73"/>
    <w:rsid w:val="00B93B59"/>
    <w:rsid w:val="00B9406A"/>
    <w:rsid w:val="00BA2280"/>
    <w:rsid w:val="00BA2A08"/>
    <w:rsid w:val="00BA56D2"/>
    <w:rsid w:val="00BA76E0"/>
    <w:rsid w:val="00BB2A25"/>
    <w:rsid w:val="00BB362F"/>
    <w:rsid w:val="00BB51E9"/>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E3C"/>
    <w:rsid w:val="00C81568"/>
    <w:rsid w:val="00C85664"/>
    <w:rsid w:val="00C9027A"/>
    <w:rsid w:val="00C9068E"/>
    <w:rsid w:val="00C91811"/>
    <w:rsid w:val="00C91A48"/>
    <w:rsid w:val="00C93C4B"/>
    <w:rsid w:val="00C944AB"/>
    <w:rsid w:val="00C9566F"/>
    <w:rsid w:val="00C95B40"/>
    <w:rsid w:val="00CA1ED8"/>
    <w:rsid w:val="00CA3F64"/>
    <w:rsid w:val="00CB1F63"/>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39D5"/>
    <w:rsid w:val="00DD739C"/>
    <w:rsid w:val="00DE18FE"/>
    <w:rsid w:val="00DE4478"/>
    <w:rsid w:val="00DE5608"/>
    <w:rsid w:val="00DE58D0"/>
    <w:rsid w:val="00DE5C7E"/>
    <w:rsid w:val="00DE654F"/>
    <w:rsid w:val="00DF0B6E"/>
    <w:rsid w:val="00DF15E0"/>
    <w:rsid w:val="00DF37A0"/>
    <w:rsid w:val="00DF7FB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AEF"/>
    <w:rsid w:val="00E528F4"/>
    <w:rsid w:val="00E53B75"/>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6985"/>
    <w:rsid w:val="00F97838"/>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CC58DCEB-BB48-4511-9FD3-968DC143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 w:id="9069061">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723021276">
          <w:marLeft w:val="835"/>
          <w:marRight w:val="0"/>
          <w:marTop w:val="77"/>
          <w:marBottom w:val="0"/>
          <w:divBdr>
            <w:top w:val="none" w:sz="0" w:space="0" w:color="auto"/>
            <w:left w:val="none" w:sz="0" w:space="0" w:color="auto"/>
            <w:bottom w:val="none" w:sz="0" w:space="0" w:color="auto"/>
            <w:right w:val="none" w:sz="0" w:space="0" w:color="auto"/>
          </w:divBdr>
        </w:div>
        <w:div w:id="18686922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1168523914">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405608912">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AHs/2017_01_NR//Docs/R2-170054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SAQRZK7RPU5V-1-16556</_dlc_DocId>
    <TaxCatchAll xmlns="08b2df90-05d3-4030-90d4-c9feeb4a1cd9">
      <Value>32</Value>
      <Value>31</Value>
      <Value>30</Value>
      <Value>2</Value>
      <Value>1</Value>
    </TaxCatchAll>
    <_dlc_DocIdUrl xmlns="08b2df90-05d3-4030-90d4-c9feeb4a1cd9">
      <Url>https://ericoll.internal.ericsson.com/sites/NSA/_layouts/DocIdRedir.aspx?ID=SAQRZK7RPU5V-1-16556</Url>
      <Description>SAQRZK7RPU5V-1-16556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3.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4.xml><?xml version="1.0" encoding="utf-8"?>
<ds:datastoreItem xmlns:ds="http://schemas.openxmlformats.org/officeDocument/2006/customXml" ds:itemID="{079B2F1F-9DC5-457D-B870-2CA6FC107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EE06E-466E-406D-A8DB-B7486FADF859}">
  <ds:schemaRefs>
    <ds:schemaRef ds:uri="http://schemas.microsoft.com/sharepoint/v4"/>
    <ds:schemaRef ds:uri="08b2df90-05d3-4030-90d4-c9feeb4a1cd9"/>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office/2006/metadata/properties"/>
    <ds:schemaRef ds:uri="d46971d8-f4ed-4cac-a977-cede52d8d47b"/>
    <ds:schemaRef ds:uri="http://www.w3.org/XML/1998/namespace"/>
    <ds:schemaRef ds:uri="http://purl.org/dc/elements/1.1/"/>
  </ds:schemaRefs>
</ds:datastoreItem>
</file>

<file path=customXml/itemProps6.xml><?xml version="1.0" encoding="utf-8"?>
<ds:datastoreItem xmlns:ds="http://schemas.openxmlformats.org/officeDocument/2006/customXml" ds:itemID="{E3626EC4-A2AB-42B9-8DCD-760691AF2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2016-08-03T08:58:00Z</cp:lastPrinted>
  <dcterms:created xsi:type="dcterms:W3CDTF">2017-02-04T02:52:00Z</dcterms:created>
  <dcterms:modified xsi:type="dcterms:W3CDTF">2017-02-04T02:52:00Z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1bf64695-0543-4af2-a7e6-58f0dd88b5c2</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